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3DC" w:rsidRPr="00BD53DC" w:rsidRDefault="00BD53DC" w:rsidP="00BD53DC">
      <w:r w:rsidRPr="00BD53DC">
        <w:t>Judicial review under § 1252(e)(3), on the other hand, allows systematic and</w:t>
      </w:r>
    </w:p>
    <w:p w:rsidR="00BD53DC" w:rsidRPr="00BD53DC" w:rsidRDefault="00BD53DC" w:rsidP="00BD53DC">
      <w:r w:rsidRPr="00BD53DC">
        <w:t>generalized attacks on the constitutionality and legality of the expedited-removal system.</w:t>
      </w:r>
    </w:p>
    <w:p w:rsidR="00BD53DC" w:rsidRPr="00BD53DC" w:rsidRDefault="00BD53DC" w:rsidP="00BD53DC">
      <w:r w:rsidRPr="00BD53DC">
        <w:t>But these types of challenges must be brought in the U.S. District Court for the District</w:t>
      </w:r>
    </w:p>
    <w:p w:rsidR="00BD53DC" w:rsidRPr="00BD53DC" w:rsidRDefault="00BD53DC" w:rsidP="00BD53DC">
      <w:r w:rsidRPr="00BD53DC">
        <w:t>of Columbia within a specified timeframe. 8 U.S.C. §§ 1252(e)(3)(a)-(b); United States</w:t>
      </w:r>
    </w:p>
    <w:p w:rsidR="00BD53DC" w:rsidRPr="00BD53DC" w:rsidRDefault="00BD53DC" w:rsidP="00BD53DC">
      <w:r w:rsidRPr="00BD53DC">
        <w:t>v. Barajas-Alvarado, 655 F.3d 1077, 1086 n.10 (9th Cir. 2011) (“[W]e cannot address</w:t>
      </w:r>
    </w:p>
    <w:p w:rsidR="00BD53DC" w:rsidRPr="00BD53DC" w:rsidRDefault="00BD53DC" w:rsidP="00BD53DC">
      <w:r w:rsidRPr="00BD53DC">
        <w:t>Barajas-Alvarado’s general attacks on the expedited removal process [due to</w:t>
      </w:r>
    </w:p>
    <w:p w:rsidR="00BD53DC" w:rsidRPr="00BD53DC" w:rsidRDefault="00BD53DC" w:rsidP="00BD53DC">
      <w:r w:rsidRPr="00BD53DC">
        <w:t xml:space="preserve">§ 1252(e)(3)].”); Am. Immigration Lawyers </w:t>
      </w:r>
      <w:proofErr w:type="spellStart"/>
      <w:r w:rsidRPr="00BD53DC">
        <w:t>Ass’n</w:t>
      </w:r>
      <w:proofErr w:type="spellEnd"/>
      <w:r w:rsidRPr="00BD53DC">
        <w:t xml:space="preserve"> v. Reno, 18 F. Supp. 2d 38, 47 (</w:t>
      </w:r>
      <w:proofErr w:type="spellStart"/>
      <w:r w:rsidRPr="00BD53DC">
        <w:t>D.D.C</w:t>
      </w:r>
      <w:proofErr w:type="spellEnd"/>
      <w:r w:rsidRPr="00BD53DC">
        <w:t>.</w:t>
      </w:r>
    </w:p>
    <w:p w:rsidR="00BD53DC" w:rsidRPr="00BD53DC" w:rsidRDefault="00BD53DC" w:rsidP="00BD53DC">
      <w:r w:rsidRPr="00BD53DC">
        <w:t>1998) (finding the statute’s timing requirement is jurisdictional), aff’d, 199 F.3d 1352,</w:t>
      </w:r>
    </w:p>
    <w:p w:rsidR="002D0EA1" w:rsidRDefault="00BD53DC" w:rsidP="00BD53DC">
      <w:r w:rsidRPr="00BD53DC">
        <w:t>1357 (D.C. Cir. 2000) (affirming for “substantially” th</w:t>
      </w:r>
      <w:bookmarkStart w:id="0" w:name="_GoBack"/>
      <w:bookmarkEnd w:id="0"/>
      <w:r w:rsidRPr="00BD53DC">
        <w:t>e reasons stated by district court).</w:t>
      </w:r>
    </w:p>
    <w:sectPr w:rsidR="002D0EA1" w:rsidSect="00D76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3DC"/>
    <w:rsid w:val="002D0EA1"/>
    <w:rsid w:val="003219CA"/>
    <w:rsid w:val="00975326"/>
    <w:rsid w:val="00A07AD1"/>
    <w:rsid w:val="00BD53DC"/>
    <w:rsid w:val="00C70DA9"/>
    <w:rsid w:val="00CF462B"/>
    <w:rsid w:val="00D7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C44114"/>
  <w15:chartTrackingRefBased/>
  <w15:docId w15:val="{ED1FCA34-5EEA-9541-B0CF-B5508FA38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660</Characters>
  <Application>Microsoft Office Word</Application>
  <DocSecurity>0</DocSecurity>
  <Lines>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Law Office of William Frick</Company>
  <LinksUpToDate>false</LinksUpToDate>
  <CharactersWithSpaces>765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2019-08-23T02:02:00Z</dcterms:created>
  <dcterms:modified xsi:type="dcterms:W3CDTF">2019-08-23T02:02:00Z</dcterms:modified>
  <cp:category/>
</cp:coreProperties>
</file>